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52FE0762">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1393A115"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proofErr w:type="spellStart"/>
      <w:r w:rsidRPr="00E03469">
        <w:rPr>
          <w:rFonts w:ascii="Arial" w:eastAsia="Times New Roman" w:hAnsi="Arial" w:cs="Arial"/>
          <w:sz w:val="24"/>
          <w:szCs w:val="24"/>
          <w:lang w:eastAsia="pl-PL"/>
        </w:rPr>
        <w:t>MFiPR</w:t>
      </w:r>
      <w:proofErr w:type="spellEnd"/>
      <w:r w:rsidRPr="00E03469">
        <w:rPr>
          <w:rFonts w:ascii="Arial" w:eastAsia="Times New Roman" w:hAnsi="Arial" w:cs="Arial"/>
          <w:sz w:val="24"/>
          <w:szCs w:val="24"/>
          <w:lang w:eastAsia="pl-PL"/>
        </w:rPr>
        <w:t>/2021-2027/15(1)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E657F4" w:rsidRPr="00E03469">
        <w:rPr>
          <w:rFonts w:ascii="Arial" w:eastAsia="Times New Roman" w:hAnsi="Arial" w:cs="Arial"/>
          <w:sz w:val="24"/>
          <w:szCs w:val="24"/>
          <w:lang w:eastAsia="pl-PL"/>
        </w:rPr>
        <w:t>202</w:t>
      </w:r>
      <w:r w:rsidR="00E657F4">
        <w:rPr>
          <w:rFonts w:ascii="Arial" w:eastAsia="Times New Roman" w:hAnsi="Arial" w:cs="Arial"/>
          <w:sz w:val="24"/>
          <w:szCs w:val="24"/>
          <w:lang w:eastAsia="pl-PL"/>
        </w:rPr>
        <w:t>5</w:t>
      </w:r>
      <w:r w:rsidR="00E657F4"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E657F4">
        <w:rPr>
          <w:rFonts w:ascii="Arial" w:eastAsia="Times New Roman" w:hAnsi="Arial" w:cs="Arial"/>
          <w:sz w:val="24"/>
          <w:szCs w:val="24"/>
          <w:lang w:eastAsia="pl-PL"/>
        </w:rPr>
        <w:t>1733</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13E71A59" w14:textId="77777777" w:rsidR="00FD1FFC" w:rsidRPr="00A45EF9" w:rsidRDefault="00FD1FFC" w:rsidP="00FD1FFC">
      <w:pPr>
        <w:numPr>
          <w:ilvl w:val="0"/>
          <w:numId w:val="31"/>
        </w:num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wyjątków art. 7 ust. 1 lit. h) </w:t>
      </w:r>
      <w:proofErr w:type="spellStart"/>
      <w:r w:rsidRPr="00A45EF9">
        <w:rPr>
          <w:rFonts w:ascii="Arial" w:eastAsia="Calibri" w:hAnsi="Arial" w:cs="Arial"/>
          <w:kern w:val="0"/>
          <w:sz w:val="24"/>
          <w:szCs w:val="24"/>
          <w:lang w:eastAsia="pl-PL"/>
          <w14:ligatures w14:val="none"/>
        </w:rPr>
        <w:t>ppkt</w:t>
      </w:r>
      <w:proofErr w:type="spellEnd"/>
      <w:r w:rsidRPr="00A45EF9">
        <w:rPr>
          <w:rFonts w:ascii="Arial" w:eastAsia="Calibri" w:hAnsi="Arial" w:cs="Arial"/>
          <w:kern w:val="0"/>
          <w:sz w:val="24"/>
          <w:szCs w:val="24"/>
          <w:lang w:eastAsia="pl-PL"/>
          <w14:ligatures w14:val="none"/>
        </w:rPr>
        <w:t xml:space="preserve"> (i)-(iii) rozporządzenia EFRR,</w:t>
      </w:r>
      <w:r>
        <w:rPr>
          <w:rFonts w:ascii="Arial" w:eastAsia="Calibri" w:hAnsi="Arial" w:cs="Arial"/>
          <w:kern w:val="0"/>
          <w:sz w:val="24"/>
          <w:szCs w:val="24"/>
          <w:lang w:eastAsia="pl-PL"/>
          <w14:ligatures w14:val="none"/>
        </w:rPr>
        <w:t xml:space="preserve"> tj.:</w:t>
      </w:r>
    </w:p>
    <w:p w14:paraId="23EA725E" w14:textId="77777777" w:rsidR="00FD1FFC" w:rsidRPr="00A45EF9" w:rsidRDefault="00FD1FFC" w:rsidP="00FD1FFC">
      <w:pPr>
        <w:numPr>
          <w:ilvl w:val="0"/>
          <w:numId w:val="31"/>
        </w:num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 xml:space="preserve">urządzeń/ maszyn/ środków transportu zasilanych paliwami kopalnymi wykorzystywane w celu realizacji projektu i , które przyczyniają się do </w:t>
      </w:r>
      <w:r w:rsidRPr="00EC4562">
        <w:rPr>
          <w:rFonts w:ascii="Arial" w:eastAsia="Calibri" w:hAnsi="Arial" w:cs="Arial"/>
          <w:kern w:val="0"/>
          <w:sz w:val="24"/>
          <w:szCs w:val="24"/>
          <w:lang w:eastAsia="pl-PL"/>
          <w14:ligatures w14:val="none"/>
        </w:rPr>
        <w:lastRenderedPageBreak/>
        <w:t>osiągnięcia celów szczegółowych FEdKP, gdy nie istnieje realna alternatywna technologia</w:t>
      </w:r>
      <w:r w:rsidRPr="00A45EF9">
        <w:rPr>
          <w:rFonts w:ascii="Arial" w:eastAsia="Calibri" w:hAnsi="Arial" w:cs="Arial"/>
          <w:kern w:val="0"/>
          <w:sz w:val="24"/>
          <w:szCs w:val="24"/>
          <w:lang w:eastAsia="pl-PL"/>
          <w14:ligatures w14:val="none"/>
        </w:rPr>
        <w:t>.</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A20772D" w14:textId="77777777" w:rsidR="00FD1FFC" w:rsidRPr="00D47D78"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wpisuje się w wyjątki wskazane w art. 7 </w:t>
      </w:r>
      <w:r w:rsidRPr="006A41EF">
        <w:rPr>
          <w:rFonts w:ascii="Arial" w:eastAsia="Calibri" w:hAnsi="Arial" w:cs="Arial"/>
          <w:kern w:val="0"/>
          <w:sz w:val="24"/>
          <w:szCs w:val="24"/>
          <w:lang w:eastAsia="pl-PL"/>
          <w14:ligatures w14:val="none"/>
        </w:rPr>
        <w:t xml:space="preserve">ust. 1 lit. h) </w:t>
      </w:r>
      <w:proofErr w:type="spellStart"/>
      <w:r w:rsidRPr="006A41EF">
        <w:rPr>
          <w:rFonts w:ascii="Arial" w:eastAsia="Calibri" w:hAnsi="Arial" w:cs="Arial"/>
          <w:kern w:val="0"/>
          <w:sz w:val="24"/>
          <w:szCs w:val="24"/>
          <w:lang w:eastAsia="pl-PL"/>
          <w14:ligatures w14:val="none"/>
        </w:rPr>
        <w:t>ppkt</w:t>
      </w:r>
      <w:proofErr w:type="spellEnd"/>
      <w:r w:rsidRPr="006A41EF">
        <w:rPr>
          <w:rFonts w:ascii="Arial" w:eastAsia="Calibri" w:hAnsi="Arial" w:cs="Arial"/>
          <w:kern w:val="0"/>
          <w:sz w:val="24"/>
          <w:szCs w:val="24"/>
          <w:lang w:eastAsia="pl-PL"/>
          <w14:ligatures w14:val="none"/>
        </w:rPr>
        <w:t xml:space="preserve"> (i</w:t>
      </w:r>
      <w:r>
        <w:rPr>
          <w:rFonts w:ascii="Arial" w:eastAsia="Calibri" w:hAnsi="Arial" w:cs="Arial"/>
          <w:kern w:val="0"/>
          <w:sz w:val="24"/>
          <w:szCs w:val="24"/>
          <w:lang w:eastAsia="pl-PL"/>
          <w14:ligatures w14:val="none"/>
        </w:rPr>
        <w:t>) lub (ii)</w:t>
      </w:r>
      <w:r w:rsidRPr="006A41E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tj.:</w:t>
      </w:r>
    </w:p>
    <w:p w14:paraId="5A88E52B" w14:textId="77777777" w:rsidR="00FD1FFC" w:rsidRPr="00F614C6" w:rsidRDefault="00FD1FFC" w:rsidP="00FD1FFC">
      <w:pPr>
        <w:pStyle w:val="Akapitzlist"/>
        <w:numPr>
          <w:ilvl w:val="0"/>
          <w:numId w:val="35"/>
        </w:num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dotyczy </w:t>
      </w:r>
      <w:r w:rsidRPr="00F614C6">
        <w:rPr>
          <w:rFonts w:ascii="Arial" w:eastAsia="Calibri" w:hAnsi="Arial" w:cs="Arial"/>
          <w:kern w:val="0"/>
          <w:sz w:val="24"/>
          <w:szCs w:val="24"/>
          <w:lang w:eastAsia="pl-PL"/>
          <w14:ligatures w14:val="none"/>
        </w:rPr>
        <w:t>wymiany systemów ciepłowniczych zasilanych stałymi paliwami kopalnymi, tj. węglem kamiennym, torfem, węglem brunatnym, łupkami bitumicznymi, na systemy grzewcze zasilane gazem ziemnym w celu:</w:t>
      </w:r>
    </w:p>
    <w:p w14:paraId="50CC8B12" w14:textId="77777777" w:rsidR="00FD1FFC" w:rsidRPr="00F614C6" w:rsidRDefault="00FD1FFC" w:rsidP="00FD1FFC">
      <w:pPr>
        <w:pStyle w:val="Akapitzlist"/>
        <w:numPr>
          <w:ilvl w:val="0"/>
          <w:numId w:val="36"/>
        </w:numPr>
        <w:spacing w:after="120" w:line="360" w:lineRule="auto"/>
        <w:ind w:left="1560" w:hanging="284"/>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modernizacji systemów ciepłowniczych i chłodniczych do stanu „efektywnego systemu ciepłowniczego i chłodniczego”, zdefiniowanego w art. 2 pkt 41 dyrektywy 2012/27/UE,</w:t>
      </w:r>
      <w:r>
        <w:rPr>
          <w:rFonts w:ascii="Arial" w:eastAsia="Calibri" w:hAnsi="Arial" w:cs="Arial"/>
          <w:kern w:val="0"/>
          <w:sz w:val="24"/>
          <w:szCs w:val="24"/>
          <w:lang w:eastAsia="pl-PL"/>
          <w14:ligatures w14:val="none"/>
        </w:rPr>
        <w:t xml:space="preserve"> </w:t>
      </w:r>
      <w:r w:rsidRPr="00F614C6">
        <w:rPr>
          <w:rFonts w:ascii="Arial" w:eastAsia="Calibri" w:hAnsi="Arial" w:cs="Arial"/>
          <w:kern w:val="0"/>
          <w:sz w:val="24"/>
          <w:szCs w:val="24"/>
          <w:lang w:eastAsia="pl-PL"/>
          <w14:ligatures w14:val="none"/>
        </w:rPr>
        <w:t>modernizacji elektrociepłowni do stanu „wysokosprawnej kogeneracji”, zdefiniowanej w art. 2 pkt 34 dyrektywy 2012/27/UE,</w:t>
      </w:r>
    </w:p>
    <w:p w14:paraId="52001352" w14:textId="77777777" w:rsidR="00FD1FFC" w:rsidRPr="00F614C6" w:rsidRDefault="00FD1FFC" w:rsidP="00FD1FFC">
      <w:pPr>
        <w:pStyle w:val="Akapitzlist"/>
        <w:numPr>
          <w:ilvl w:val="0"/>
          <w:numId w:val="36"/>
        </w:numPr>
        <w:spacing w:after="120" w:line="360" w:lineRule="auto"/>
        <w:ind w:left="1560" w:hanging="284"/>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inwestycji w wymianę instalacji zasilanych węglem kamiennym, torfem, węglem brunatnym lub łupkami bitumicznymi, na kotły i systemy ciepłownicze zasilane gazem ziemnym w budynkach mieszkalnych i niemieszkalnych;</w:t>
      </w:r>
    </w:p>
    <w:p w14:paraId="67F20C33" w14:textId="77777777" w:rsidR="00FD1FFC" w:rsidRDefault="00FD1FFC" w:rsidP="00FD1FFC">
      <w:pPr>
        <w:pStyle w:val="Akapitzlist"/>
        <w:numPr>
          <w:ilvl w:val="0"/>
          <w:numId w:val="35"/>
        </w:numPr>
        <w:spacing w:after="120" w:line="360" w:lineRule="auto"/>
        <w:rPr>
          <w:rFonts w:ascii="Arial" w:eastAsia="Calibri" w:hAnsi="Arial" w:cs="Arial"/>
          <w:kern w:val="0"/>
          <w:sz w:val="24"/>
          <w:szCs w:val="24"/>
          <w:lang w:eastAsia="pl-PL"/>
          <w14:ligatures w14:val="none"/>
        </w:rPr>
      </w:pPr>
      <w:r w:rsidRPr="00D47D78">
        <w:rPr>
          <w:rFonts w:ascii="Arial" w:eastAsia="Calibri" w:hAnsi="Arial" w:cs="Arial"/>
          <w:kern w:val="0"/>
          <w:sz w:val="24"/>
          <w:szCs w:val="24"/>
          <w:lang w:eastAsia="pl-PL"/>
          <w14:ligatures w14:val="none"/>
        </w:rPr>
        <w: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w:t>
      </w:r>
      <w:proofErr w:type="spellStart"/>
      <w:r w:rsidRPr="00D47D78">
        <w:rPr>
          <w:rFonts w:ascii="Arial" w:eastAsia="Calibri" w:hAnsi="Arial" w:cs="Arial"/>
          <w:kern w:val="0"/>
          <w:sz w:val="24"/>
          <w:szCs w:val="24"/>
          <w:lang w:eastAsia="pl-PL"/>
          <w14:ligatures w14:val="none"/>
        </w:rPr>
        <w:t>biometan</w:t>
      </w:r>
      <w:proofErr w:type="spellEnd"/>
      <w:r w:rsidRPr="00D47D78">
        <w:rPr>
          <w:rFonts w:ascii="Arial" w:eastAsia="Calibri" w:hAnsi="Arial" w:cs="Arial"/>
          <w:kern w:val="0"/>
          <w:sz w:val="24"/>
          <w:szCs w:val="24"/>
          <w:lang w:eastAsia="pl-PL"/>
          <w14:ligatures w14:val="none"/>
        </w:rPr>
        <w:t xml:space="preserve"> i gaz syntezowy, oraz umożliwiają zastąpienie instalacji zasilanych stałymi paliwami kopalnymi</w:t>
      </w:r>
      <w:r>
        <w:rPr>
          <w:rFonts w:ascii="Arial" w:eastAsia="Calibri" w:hAnsi="Arial" w:cs="Arial"/>
          <w:kern w:val="0"/>
          <w:sz w:val="24"/>
          <w:szCs w:val="24"/>
          <w:lang w:eastAsia="pl-PL"/>
          <w14:ligatures w14:val="none"/>
        </w:rPr>
        <w:t>,</w:t>
      </w:r>
    </w:p>
    <w:p w14:paraId="4BCAF172" w14:textId="77777777" w:rsidR="00FD1FFC" w:rsidRDefault="00FD1FFC" w:rsidP="0078532C">
      <w:pPr>
        <w:spacing w:after="120" w:line="360" w:lineRule="auto"/>
        <w:ind w:left="426"/>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wskaż, którego wyjątku dotyczy ten wydatek poprzez odwołanie do właściwego podpunktu rozporządzenia i opisz go </w:t>
      </w:r>
      <w:r w:rsidRPr="0065126F">
        <w:rPr>
          <w:rFonts w:ascii="Arial" w:eastAsia="Calibri" w:hAnsi="Arial" w:cs="Arial"/>
          <w:kern w:val="0"/>
          <w:sz w:val="24"/>
          <w:szCs w:val="24"/>
          <w:lang w:eastAsia="pl-PL"/>
          <w14:ligatures w14:val="none"/>
        </w:rPr>
        <w:t xml:space="preserve">w sposób </w:t>
      </w:r>
      <w:r>
        <w:rPr>
          <w:rFonts w:ascii="Arial" w:eastAsia="Calibri" w:hAnsi="Arial" w:cs="Arial"/>
          <w:kern w:val="0"/>
          <w:sz w:val="24"/>
          <w:szCs w:val="24"/>
          <w:lang w:eastAsia="pl-PL"/>
          <w14:ligatures w14:val="none"/>
        </w:rPr>
        <w:t>umożliwiający potwierdzenie ww. warunków.</w:t>
      </w:r>
    </w:p>
    <w:p w14:paraId="439D71FD"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Wydatki objęte ww. wyjątkami, mogą być uznane za kwalifikowalne, z zastrzeżeniem że umowa o dofinansowanie projektu, w którym te wydatki występują zostanie podpisana najpóźniej do 31 grudnia 2025 roku. Takie projekty</w:t>
      </w:r>
      <w:r w:rsidRPr="00EC4562">
        <w:rPr>
          <w:rFonts w:ascii="Calibri" w:eastAsia="Calibri" w:hAnsi="Calibri" w:cs="Times New Roman"/>
          <w:kern w:val="0"/>
          <w:lang w:eastAsia="pl-PL"/>
          <w14:ligatures w14:val="none"/>
        </w:rPr>
        <w:t xml:space="preserve"> </w:t>
      </w:r>
      <w:r w:rsidRPr="00EC4562">
        <w:rPr>
          <w:rFonts w:ascii="Arial" w:eastAsia="Calibri" w:hAnsi="Arial" w:cs="Arial"/>
          <w:kern w:val="0"/>
          <w:sz w:val="24"/>
          <w:szCs w:val="24"/>
          <w:lang w:eastAsia="pl-PL"/>
          <w14:ligatures w14:val="none"/>
        </w:rPr>
        <w:t>nie mogą być kontynuowane w kolejnym okresie programowania.</w:t>
      </w: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lastRenderedPageBreak/>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przez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Czy infrastruktura umożliwiająca szybkie ładowanie maszyny/ urządzenia zasilanych elektrycznie jest wymagana dla ich efektywnego wykorzystania i </w:t>
      </w:r>
      <w:r w:rsidRPr="0065126F">
        <w:rPr>
          <w:rFonts w:ascii="Arial" w:eastAsia="Calibri" w:hAnsi="Arial" w:cs="Arial"/>
          <w:kern w:val="0"/>
          <w:sz w:val="24"/>
          <w:szCs w:val="24"/>
          <w:lang w:eastAsia="pl-PL"/>
          <w14:ligatures w14:val="none"/>
        </w:rPr>
        <w:lastRenderedPageBreak/>
        <w:t>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42A9077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 xml:space="preserve">korzyść ekonomiczna – występuje wtedy, gdy przekazywane jest wsparcie o charakterze bezzwrotnym, udzielane są pożyczki/kredyty z oprocentowaniem </w:t>
      </w:r>
      <w:r w:rsidRPr="00056A7D">
        <w:rPr>
          <w:rFonts w:ascii="Arial" w:eastAsia="Times New Roman" w:hAnsi="Arial" w:cs="Arial"/>
          <w:sz w:val="24"/>
          <w:szCs w:val="24"/>
          <w:lang w:eastAsia="pl-PL"/>
        </w:rPr>
        <w:lastRenderedPageBreak/>
        <w:t>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2"/>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3"/>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4"/>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Przyszłe przepływy środków pieniężnych dyskontuje się w celu uzyskania ich wartości bieżącej za pomocą współczynnika </w:t>
      </w:r>
      <w:r w:rsidRPr="00E03469">
        <w:rPr>
          <w:rFonts w:ascii="Arial" w:eastAsia="Times New Roman" w:hAnsi="Arial" w:cs="Arial"/>
          <w:sz w:val="24"/>
          <w:szCs w:val="24"/>
          <w:lang w:eastAsia="pl-PL"/>
        </w:rPr>
        <w:lastRenderedPageBreak/>
        <w:t>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5"/>
      </w:r>
      <w:r w:rsidR="001428C9" w:rsidRPr="00E03469">
        <w:rPr>
          <w:rFonts w:ascii="Arial" w:eastAsia="Times New Roman" w:hAnsi="Arial" w:cs="Arial"/>
          <w:sz w:val="24"/>
          <w:szCs w:val="24"/>
          <w:lang w:eastAsia="pl-PL"/>
        </w:rPr>
        <w:t>.</w:t>
      </w:r>
    </w:p>
    <w:p w14:paraId="15B250A5" w14:textId="78ACEAF3"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7"/>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8"/>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Podatki bezpośrednie (m.in. podatek od nieruchomości) mogą zostać uwzględnione w analizie finansowej jako koszty, o ile stanowią one </w:t>
      </w:r>
      <w:r w:rsidRPr="00E03469">
        <w:rPr>
          <w:rFonts w:ascii="Arial" w:eastAsia="Times New Roman" w:hAnsi="Arial" w:cs="Arial"/>
          <w:sz w:val="24"/>
          <w:szCs w:val="24"/>
          <w:lang w:eastAsia="pl-PL"/>
        </w:rPr>
        <w:lastRenderedPageBreak/>
        <w:t>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lastRenderedPageBreak/>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9"/>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lastRenderedPageBreak/>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11725" w14:textId="77777777" w:rsidR="00D8060F" w:rsidRDefault="00D8060F" w:rsidP="006D08C8">
      <w:pPr>
        <w:spacing w:after="0" w:line="240" w:lineRule="auto"/>
      </w:pPr>
      <w:r>
        <w:separator/>
      </w:r>
    </w:p>
  </w:endnote>
  <w:endnote w:type="continuationSeparator" w:id="0">
    <w:p w14:paraId="4FC844F4" w14:textId="77777777" w:rsidR="00D8060F" w:rsidRDefault="00D8060F"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1133B" w14:textId="77777777" w:rsidR="00D8060F" w:rsidRDefault="00D8060F" w:rsidP="006D08C8">
      <w:pPr>
        <w:spacing w:after="0" w:line="240" w:lineRule="auto"/>
      </w:pPr>
      <w:r>
        <w:separator/>
      </w:r>
    </w:p>
  </w:footnote>
  <w:footnote w:type="continuationSeparator" w:id="0">
    <w:p w14:paraId="08E3E455" w14:textId="77777777" w:rsidR="00D8060F" w:rsidRDefault="00D8060F"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3">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4">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5">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6">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7">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8">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9">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7"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4"/>
  </w:num>
  <w:num w:numId="2" w16cid:durableId="1754231680">
    <w:abstractNumId w:val="2"/>
  </w:num>
  <w:num w:numId="3" w16cid:durableId="1881428969">
    <w:abstractNumId w:val="8"/>
  </w:num>
  <w:num w:numId="4" w16cid:durableId="803039176">
    <w:abstractNumId w:val="33"/>
  </w:num>
  <w:num w:numId="5" w16cid:durableId="1287807973">
    <w:abstractNumId w:val="35"/>
  </w:num>
  <w:num w:numId="6" w16cid:durableId="445545447">
    <w:abstractNumId w:val="28"/>
  </w:num>
  <w:num w:numId="7" w16cid:durableId="1668558158">
    <w:abstractNumId w:val="23"/>
  </w:num>
  <w:num w:numId="8" w16cid:durableId="872306772">
    <w:abstractNumId w:val="13"/>
  </w:num>
  <w:num w:numId="9" w16cid:durableId="228658107">
    <w:abstractNumId w:val="9"/>
  </w:num>
  <w:num w:numId="10" w16cid:durableId="1601598563">
    <w:abstractNumId w:val="15"/>
  </w:num>
  <w:num w:numId="11" w16cid:durableId="226385308">
    <w:abstractNumId w:val="4"/>
  </w:num>
  <w:num w:numId="12" w16cid:durableId="671251836">
    <w:abstractNumId w:val="21"/>
  </w:num>
  <w:num w:numId="13" w16cid:durableId="1993244314">
    <w:abstractNumId w:val="7"/>
  </w:num>
  <w:num w:numId="14" w16cid:durableId="444082893">
    <w:abstractNumId w:val="0"/>
  </w:num>
  <w:num w:numId="15" w16cid:durableId="935334292">
    <w:abstractNumId w:val="10"/>
  </w:num>
  <w:num w:numId="16" w16cid:durableId="821459357">
    <w:abstractNumId w:val="5"/>
  </w:num>
  <w:num w:numId="17" w16cid:durableId="239684217">
    <w:abstractNumId w:val="3"/>
  </w:num>
  <w:num w:numId="18" w16cid:durableId="758140124">
    <w:abstractNumId w:val="25"/>
  </w:num>
  <w:num w:numId="19" w16cid:durableId="242885502">
    <w:abstractNumId w:val="26"/>
  </w:num>
  <w:num w:numId="20" w16cid:durableId="172302300">
    <w:abstractNumId w:val="18"/>
  </w:num>
  <w:num w:numId="21" w16cid:durableId="593250087">
    <w:abstractNumId w:val="31"/>
  </w:num>
  <w:num w:numId="22" w16cid:durableId="1542550543">
    <w:abstractNumId w:val="12"/>
  </w:num>
  <w:num w:numId="23" w16cid:durableId="1655064122">
    <w:abstractNumId w:val="27"/>
  </w:num>
  <w:num w:numId="24" w16cid:durableId="1557157314">
    <w:abstractNumId w:val="11"/>
  </w:num>
  <w:num w:numId="25" w16cid:durableId="811021302">
    <w:abstractNumId w:val="6"/>
  </w:num>
  <w:num w:numId="26" w16cid:durableId="152836505">
    <w:abstractNumId w:val="14"/>
  </w:num>
  <w:num w:numId="27" w16cid:durableId="94325350">
    <w:abstractNumId w:val="29"/>
  </w:num>
  <w:num w:numId="28" w16cid:durableId="1969310883">
    <w:abstractNumId w:val="19"/>
  </w:num>
  <w:num w:numId="29" w16cid:durableId="1297948168">
    <w:abstractNumId w:val="24"/>
  </w:num>
  <w:num w:numId="30" w16cid:durableId="375400149">
    <w:abstractNumId w:val="32"/>
  </w:num>
  <w:num w:numId="31" w16cid:durableId="817695491">
    <w:abstractNumId w:val="16"/>
  </w:num>
  <w:num w:numId="32" w16cid:durableId="22554975">
    <w:abstractNumId w:val="20"/>
  </w:num>
  <w:num w:numId="33" w16cid:durableId="893976897">
    <w:abstractNumId w:val="22"/>
  </w:num>
  <w:num w:numId="34" w16cid:durableId="1254363758">
    <w:abstractNumId w:val="17"/>
  </w:num>
  <w:num w:numId="35" w16cid:durableId="1309047010">
    <w:abstractNumId w:val="30"/>
  </w:num>
  <w:num w:numId="36" w16cid:durableId="521825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3652D"/>
    <w:rsid w:val="00046BDA"/>
    <w:rsid w:val="00056A7D"/>
    <w:rsid w:val="00061842"/>
    <w:rsid w:val="000657DF"/>
    <w:rsid w:val="000A0FB8"/>
    <w:rsid w:val="000A67A7"/>
    <w:rsid w:val="000E77AB"/>
    <w:rsid w:val="00112708"/>
    <w:rsid w:val="001264D5"/>
    <w:rsid w:val="001428C9"/>
    <w:rsid w:val="00155EEB"/>
    <w:rsid w:val="0019774A"/>
    <w:rsid w:val="001A1284"/>
    <w:rsid w:val="001B3782"/>
    <w:rsid w:val="001E7498"/>
    <w:rsid w:val="001F14C4"/>
    <w:rsid w:val="001F4CF0"/>
    <w:rsid w:val="001F62C5"/>
    <w:rsid w:val="002246CB"/>
    <w:rsid w:val="00267D88"/>
    <w:rsid w:val="002730D8"/>
    <w:rsid w:val="00294250"/>
    <w:rsid w:val="002A2CED"/>
    <w:rsid w:val="002F0DFD"/>
    <w:rsid w:val="00310761"/>
    <w:rsid w:val="0032523C"/>
    <w:rsid w:val="00363104"/>
    <w:rsid w:val="00367AA9"/>
    <w:rsid w:val="00380513"/>
    <w:rsid w:val="00386C55"/>
    <w:rsid w:val="003A066F"/>
    <w:rsid w:val="003B036D"/>
    <w:rsid w:val="003B3CBC"/>
    <w:rsid w:val="003C78D3"/>
    <w:rsid w:val="003D3C40"/>
    <w:rsid w:val="003F23CC"/>
    <w:rsid w:val="003F7195"/>
    <w:rsid w:val="003F7ADD"/>
    <w:rsid w:val="00405B8C"/>
    <w:rsid w:val="00434FF6"/>
    <w:rsid w:val="00476847"/>
    <w:rsid w:val="004B28FD"/>
    <w:rsid w:val="004C2FEF"/>
    <w:rsid w:val="004C68F7"/>
    <w:rsid w:val="004C6E99"/>
    <w:rsid w:val="004E17D4"/>
    <w:rsid w:val="0050206A"/>
    <w:rsid w:val="0050559B"/>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1018E"/>
    <w:rsid w:val="0062480F"/>
    <w:rsid w:val="00634E95"/>
    <w:rsid w:val="006636B2"/>
    <w:rsid w:val="006B28FC"/>
    <w:rsid w:val="006D08C8"/>
    <w:rsid w:val="006E182C"/>
    <w:rsid w:val="006F3E1E"/>
    <w:rsid w:val="0073449A"/>
    <w:rsid w:val="00743145"/>
    <w:rsid w:val="00744E78"/>
    <w:rsid w:val="00772C17"/>
    <w:rsid w:val="0078532C"/>
    <w:rsid w:val="00786DBA"/>
    <w:rsid w:val="007964D4"/>
    <w:rsid w:val="007B139B"/>
    <w:rsid w:val="007D4DFB"/>
    <w:rsid w:val="007E47AC"/>
    <w:rsid w:val="007F2490"/>
    <w:rsid w:val="0085629F"/>
    <w:rsid w:val="008816E6"/>
    <w:rsid w:val="00885D04"/>
    <w:rsid w:val="00893543"/>
    <w:rsid w:val="008A7690"/>
    <w:rsid w:val="008B46A2"/>
    <w:rsid w:val="008B73DC"/>
    <w:rsid w:val="008C32F1"/>
    <w:rsid w:val="00900581"/>
    <w:rsid w:val="00943E9A"/>
    <w:rsid w:val="00947457"/>
    <w:rsid w:val="00982D32"/>
    <w:rsid w:val="00985961"/>
    <w:rsid w:val="0099676E"/>
    <w:rsid w:val="009A0A47"/>
    <w:rsid w:val="009D1C0A"/>
    <w:rsid w:val="009E693A"/>
    <w:rsid w:val="009F2C14"/>
    <w:rsid w:val="009F3F6D"/>
    <w:rsid w:val="00A07258"/>
    <w:rsid w:val="00A34E12"/>
    <w:rsid w:val="00A66008"/>
    <w:rsid w:val="00A876F5"/>
    <w:rsid w:val="00A908A4"/>
    <w:rsid w:val="00A91F21"/>
    <w:rsid w:val="00A96F1F"/>
    <w:rsid w:val="00AB6CE3"/>
    <w:rsid w:val="00AD7BBB"/>
    <w:rsid w:val="00AE67A0"/>
    <w:rsid w:val="00AF5F28"/>
    <w:rsid w:val="00B04ADD"/>
    <w:rsid w:val="00B12E7F"/>
    <w:rsid w:val="00B45695"/>
    <w:rsid w:val="00B46519"/>
    <w:rsid w:val="00B64A32"/>
    <w:rsid w:val="00BB58ED"/>
    <w:rsid w:val="00BC378C"/>
    <w:rsid w:val="00BE2F5D"/>
    <w:rsid w:val="00BE40F9"/>
    <w:rsid w:val="00C3602B"/>
    <w:rsid w:val="00C84238"/>
    <w:rsid w:val="00C84B99"/>
    <w:rsid w:val="00C93658"/>
    <w:rsid w:val="00CA0063"/>
    <w:rsid w:val="00CB25F9"/>
    <w:rsid w:val="00CC19C3"/>
    <w:rsid w:val="00CC3445"/>
    <w:rsid w:val="00CC3674"/>
    <w:rsid w:val="00CE722F"/>
    <w:rsid w:val="00D0112F"/>
    <w:rsid w:val="00D11B51"/>
    <w:rsid w:val="00D26E48"/>
    <w:rsid w:val="00D41121"/>
    <w:rsid w:val="00D50973"/>
    <w:rsid w:val="00D50F79"/>
    <w:rsid w:val="00D53E5B"/>
    <w:rsid w:val="00D7706B"/>
    <w:rsid w:val="00D8060F"/>
    <w:rsid w:val="00DC28E5"/>
    <w:rsid w:val="00DD4A7B"/>
    <w:rsid w:val="00E03469"/>
    <w:rsid w:val="00E07A7F"/>
    <w:rsid w:val="00E10BBE"/>
    <w:rsid w:val="00E135BB"/>
    <w:rsid w:val="00E17553"/>
    <w:rsid w:val="00E177F6"/>
    <w:rsid w:val="00E34CD2"/>
    <w:rsid w:val="00E374D4"/>
    <w:rsid w:val="00E45D29"/>
    <w:rsid w:val="00E52402"/>
    <w:rsid w:val="00E53BCC"/>
    <w:rsid w:val="00E657F4"/>
    <w:rsid w:val="00E96527"/>
    <w:rsid w:val="00EA34BE"/>
    <w:rsid w:val="00EA6DF5"/>
    <w:rsid w:val="00EE1877"/>
    <w:rsid w:val="00EE601E"/>
    <w:rsid w:val="00EF788E"/>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4009</Words>
  <Characters>24057</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Karaś</dc:creator>
  <cp:keywords/>
  <dc:description/>
  <cp:lastModifiedBy>Marcin Prykanowski</cp:lastModifiedBy>
  <cp:revision>25</cp:revision>
  <cp:lastPrinted>2023-05-17T09:43:00Z</cp:lastPrinted>
  <dcterms:created xsi:type="dcterms:W3CDTF">2024-12-17T13:29:00Z</dcterms:created>
  <dcterms:modified xsi:type="dcterms:W3CDTF">2025-12-16T15:26:00Z</dcterms:modified>
</cp:coreProperties>
</file>